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explore the message of the prophets?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Prophets: Messengers of God’s Mercy</w:t>
      </w:r>
      <w:r w:rsidDel="00000000" w:rsidR="00000000" w:rsidRPr="00000000">
        <w:rPr>
          <w:rtl w:val="0"/>
        </w:rPr>
        <w:t xml:space="preserve">, a ten-session study led by </w:t>
      </w:r>
      <w:r w:rsidDel="00000000" w:rsidR="00000000" w:rsidRPr="00000000">
        <w:rPr>
          <w:b w:val="1"/>
          <w:bCs w:val="1"/>
          <w:rtl w:val="0"/>
        </w:rPr>
        <w:t xml:space="preserve">Thomas Smith </w:t>
      </w:r>
      <w:r w:rsidDel="00000000" w:rsidR="00000000" w:rsidRPr="00000000">
        <w:rPr>
          <w:rtl w:val="0"/>
        </w:rPr>
        <w:t xml:space="preserve">that explores the powerful role the prophets played in calling God’s people back to their covenant with him.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Throughout Israel’s history, God raised up prophets at critical moments to speak his word to his people.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study, you will discover how the prophets warned of the consequences of sin, called the people to repentance, and proclaimed God’s faithful love and mercy.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better understand the message of the prophets and how their words still speak to us today, this study is the perfect opportunity for you!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